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1E6FE" w14:textId="77777777" w:rsidR="00553408" w:rsidRDefault="00553408" w:rsidP="00553408">
      <w:pPr>
        <w:jc w:val="both"/>
        <w:rPr>
          <w:lang w:val="en-US"/>
        </w:rPr>
      </w:pPr>
      <w:bookmarkStart w:id="0" w:name="_GoBack"/>
      <w:bookmarkEnd w:id="0"/>
    </w:p>
    <w:p w14:paraId="218F3E81" w14:textId="77777777" w:rsidR="00553408" w:rsidRDefault="00553408" w:rsidP="00553408">
      <w:pPr>
        <w:jc w:val="both"/>
        <w:rPr>
          <w:lang w:val="en-US"/>
        </w:rPr>
      </w:pPr>
    </w:p>
    <w:p w14:paraId="16802ADF" w14:textId="77777777" w:rsidR="00553408" w:rsidRDefault="00553408" w:rsidP="00553408">
      <w:pPr>
        <w:jc w:val="both"/>
        <w:rPr>
          <w:lang w:val="en-US"/>
        </w:rPr>
      </w:pPr>
    </w:p>
    <w:p w14:paraId="73730785" w14:textId="77777777" w:rsidR="00553408" w:rsidRDefault="00553408" w:rsidP="00553408">
      <w:pPr>
        <w:jc w:val="both"/>
        <w:rPr>
          <w:lang w:val="en-US"/>
        </w:rPr>
      </w:pPr>
    </w:p>
    <w:p w14:paraId="20463EC3" w14:textId="77777777" w:rsidR="00553408" w:rsidRDefault="00553408" w:rsidP="00553408">
      <w:pPr>
        <w:jc w:val="both"/>
        <w:rPr>
          <w:lang w:val="en-US"/>
        </w:rPr>
      </w:pPr>
    </w:p>
    <w:p w14:paraId="2B3951B5" w14:textId="77777777" w:rsidR="00553408" w:rsidRDefault="00553408" w:rsidP="00553408">
      <w:pPr>
        <w:jc w:val="both"/>
        <w:rPr>
          <w:lang w:val="en-US"/>
        </w:rPr>
      </w:pPr>
    </w:p>
    <w:p w14:paraId="134DB65B" w14:textId="77777777" w:rsidR="00553408" w:rsidRDefault="00553408" w:rsidP="00553408">
      <w:pPr>
        <w:jc w:val="both"/>
        <w:rPr>
          <w:lang w:val="en-US"/>
        </w:rPr>
      </w:pPr>
    </w:p>
    <w:p w14:paraId="30370228" w14:textId="77777777" w:rsidR="00553408" w:rsidRDefault="00553408" w:rsidP="00553408">
      <w:pPr>
        <w:jc w:val="both"/>
        <w:rPr>
          <w:lang w:val="en-US"/>
        </w:rPr>
      </w:pPr>
    </w:p>
    <w:p w14:paraId="2EC8A510" w14:textId="77777777" w:rsidR="00553408" w:rsidRDefault="00553408" w:rsidP="00553408">
      <w:pPr>
        <w:jc w:val="both"/>
        <w:rPr>
          <w:lang w:val="en-US"/>
        </w:rPr>
      </w:pPr>
    </w:p>
    <w:p w14:paraId="27289919" w14:textId="77777777" w:rsidR="00553408" w:rsidRDefault="00553408" w:rsidP="00553408">
      <w:pPr>
        <w:jc w:val="both"/>
        <w:rPr>
          <w:lang w:val="en-US"/>
        </w:rPr>
      </w:pPr>
    </w:p>
    <w:p w14:paraId="42A88A6B" w14:textId="77777777" w:rsidR="00553408" w:rsidRDefault="00553408" w:rsidP="00553408">
      <w:pPr>
        <w:jc w:val="both"/>
        <w:rPr>
          <w:lang w:val="en-US"/>
        </w:rPr>
      </w:pPr>
    </w:p>
    <w:p w14:paraId="79CA1BE1" w14:textId="77777777" w:rsidR="00553408" w:rsidRDefault="00553408" w:rsidP="00553408">
      <w:pPr>
        <w:jc w:val="both"/>
        <w:rPr>
          <w:lang w:val="en-US"/>
        </w:rPr>
      </w:pPr>
    </w:p>
    <w:p w14:paraId="63A70C18" w14:textId="295B7BCD" w:rsidR="00553408" w:rsidRDefault="00B57045" w:rsidP="00553408">
      <w:pPr>
        <w:jc w:val="center"/>
        <w:rPr>
          <w:lang w:val="en-US"/>
        </w:rPr>
      </w:pPr>
      <w:r w:rsidRPr="00553408">
        <w:rPr>
          <w:lang w:val="en-US"/>
        </w:rPr>
        <w:t>Vicarious Trauma Symptoms</w:t>
      </w:r>
    </w:p>
    <w:p w14:paraId="5B7DE83A" w14:textId="37BFFCCE" w:rsidR="00553408" w:rsidRDefault="00B57045" w:rsidP="00553408">
      <w:pPr>
        <w:jc w:val="center"/>
        <w:rPr>
          <w:lang w:val="en-US"/>
        </w:rPr>
      </w:pPr>
      <w:r>
        <w:rPr>
          <w:lang w:val="en-US"/>
        </w:rPr>
        <w:t>Name</w:t>
      </w:r>
    </w:p>
    <w:p w14:paraId="3942DD4A" w14:textId="7F18A765" w:rsidR="00553408" w:rsidRDefault="00B57045" w:rsidP="00553408">
      <w:pPr>
        <w:jc w:val="center"/>
        <w:rPr>
          <w:lang w:val="en-US"/>
        </w:rPr>
      </w:pPr>
      <w:r>
        <w:rPr>
          <w:lang w:val="en-US"/>
        </w:rPr>
        <w:t>Institution</w:t>
      </w:r>
    </w:p>
    <w:p w14:paraId="03560F18" w14:textId="77777777" w:rsidR="00553408" w:rsidRDefault="00553408" w:rsidP="00553408">
      <w:pPr>
        <w:jc w:val="both"/>
        <w:rPr>
          <w:lang w:val="en-US"/>
        </w:rPr>
      </w:pPr>
    </w:p>
    <w:p w14:paraId="69031EFD" w14:textId="6FDAC44D" w:rsidR="00553408" w:rsidRDefault="00553408" w:rsidP="00553408">
      <w:pPr>
        <w:jc w:val="both"/>
        <w:rPr>
          <w:lang w:val="en-US"/>
        </w:rPr>
      </w:pPr>
    </w:p>
    <w:p w14:paraId="36A9AC7E" w14:textId="264B349E" w:rsidR="00553408" w:rsidRDefault="00553408" w:rsidP="00553408">
      <w:pPr>
        <w:jc w:val="both"/>
        <w:rPr>
          <w:lang w:val="en-US"/>
        </w:rPr>
      </w:pPr>
    </w:p>
    <w:p w14:paraId="2E2E58E2" w14:textId="43149484" w:rsidR="00553408" w:rsidRDefault="00553408" w:rsidP="00553408">
      <w:pPr>
        <w:jc w:val="both"/>
        <w:rPr>
          <w:lang w:val="en-US"/>
        </w:rPr>
      </w:pPr>
    </w:p>
    <w:p w14:paraId="0792718F" w14:textId="181B3A1E" w:rsidR="00553408" w:rsidRDefault="00553408" w:rsidP="00553408">
      <w:pPr>
        <w:jc w:val="both"/>
        <w:rPr>
          <w:lang w:val="en-US"/>
        </w:rPr>
      </w:pPr>
    </w:p>
    <w:p w14:paraId="67914918" w14:textId="4BAE0066" w:rsidR="00553408" w:rsidRDefault="00553408" w:rsidP="00553408">
      <w:pPr>
        <w:jc w:val="both"/>
        <w:rPr>
          <w:lang w:val="en-US"/>
        </w:rPr>
      </w:pPr>
    </w:p>
    <w:p w14:paraId="6D522B5C" w14:textId="04564E41" w:rsidR="00553408" w:rsidRDefault="00553408" w:rsidP="00553408">
      <w:pPr>
        <w:jc w:val="both"/>
        <w:rPr>
          <w:lang w:val="en-US"/>
        </w:rPr>
      </w:pPr>
    </w:p>
    <w:p w14:paraId="7E04C164" w14:textId="177C18DC" w:rsidR="00553408" w:rsidRDefault="00553408" w:rsidP="00553408">
      <w:pPr>
        <w:jc w:val="both"/>
        <w:rPr>
          <w:lang w:val="en-US"/>
        </w:rPr>
      </w:pPr>
    </w:p>
    <w:p w14:paraId="0ED26965" w14:textId="39220762" w:rsidR="00553408" w:rsidRDefault="00553408" w:rsidP="00553408">
      <w:pPr>
        <w:jc w:val="both"/>
        <w:rPr>
          <w:lang w:val="en-US"/>
        </w:rPr>
      </w:pPr>
    </w:p>
    <w:p w14:paraId="6981FD36" w14:textId="3ADBECD0" w:rsidR="00553408" w:rsidRDefault="00553408" w:rsidP="00553408">
      <w:pPr>
        <w:jc w:val="both"/>
        <w:rPr>
          <w:lang w:val="en-US"/>
        </w:rPr>
      </w:pPr>
    </w:p>
    <w:p w14:paraId="2218CC7E" w14:textId="2C69CAF3" w:rsidR="00553408" w:rsidRDefault="00553408" w:rsidP="00553408">
      <w:pPr>
        <w:jc w:val="both"/>
        <w:rPr>
          <w:lang w:val="en-US"/>
        </w:rPr>
      </w:pPr>
    </w:p>
    <w:p w14:paraId="719BA98F" w14:textId="7BC4D89E" w:rsidR="00553408" w:rsidRDefault="00553408" w:rsidP="00553408">
      <w:pPr>
        <w:jc w:val="both"/>
        <w:rPr>
          <w:lang w:val="en-US"/>
        </w:rPr>
      </w:pPr>
    </w:p>
    <w:p w14:paraId="49B72766" w14:textId="126F5397" w:rsidR="00553408" w:rsidRDefault="00553408" w:rsidP="00553408">
      <w:pPr>
        <w:jc w:val="both"/>
        <w:rPr>
          <w:lang w:val="en-US"/>
        </w:rPr>
      </w:pPr>
    </w:p>
    <w:p w14:paraId="53E69209" w14:textId="77777777" w:rsidR="00553408" w:rsidRDefault="00553408" w:rsidP="00553408">
      <w:pPr>
        <w:jc w:val="both"/>
        <w:rPr>
          <w:lang w:val="en-US"/>
        </w:rPr>
      </w:pPr>
    </w:p>
    <w:p w14:paraId="56A1AA90" w14:textId="1A87DBAC" w:rsidR="007929C8" w:rsidRPr="0062064B" w:rsidRDefault="00B57045" w:rsidP="0062064B">
      <w:pPr>
        <w:spacing w:line="480" w:lineRule="auto"/>
        <w:jc w:val="both"/>
        <w:rPr>
          <w:b/>
          <w:bCs/>
          <w:lang w:val="en-US"/>
        </w:rPr>
      </w:pPr>
      <w:r w:rsidRPr="0062064B">
        <w:rPr>
          <w:b/>
          <w:bCs/>
          <w:lang w:val="en-US"/>
        </w:rPr>
        <w:lastRenderedPageBreak/>
        <w:t>T</w:t>
      </w:r>
      <w:r w:rsidR="003D63E0" w:rsidRPr="0062064B">
        <w:rPr>
          <w:b/>
          <w:bCs/>
          <w:lang w:val="en-US"/>
        </w:rPr>
        <w:t>wo similarities and two differences between the symptoms of survivors of sexual abuse and natural disasters, and trauma-response helping professionals experiencing vicarious trauma working with these populations</w:t>
      </w:r>
    </w:p>
    <w:p w14:paraId="2426DFCF" w14:textId="167D633A" w:rsidR="003D63E0" w:rsidRDefault="00B57045" w:rsidP="0062064B">
      <w:pPr>
        <w:spacing w:line="480" w:lineRule="auto"/>
        <w:ind w:firstLine="720"/>
        <w:jc w:val="both"/>
        <w:rPr>
          <w:lang w:val="en-US"/>
        </w:rPr>
      </w:pPr>
      <w:r>
        <w:rPr>
          <w:lang w:val="en-US"/>
        </w:rPr>
        <w:t>Vicarious trauma occurs to therapists and counselors in different settings based on the underlying client experiences.  Trauma response professionals working with sexual abuse survivors and those working in natural disaster individuals are both likely to suffer from vicarious trauma, although there is a likelihood of having different symptoms due to the difference in exposure. The common symptoms, in this case, include difficulty falling asleep and feeling hopeless</w:t>
      </w:r>
      <w:r w:rsidR="0062064B">
        <w:rPr>
          <w:lang w:val="en-US"/>
        </w:rPr>
        <w:t xml:space="preserve"> (</w:t>
      </w:r>
      <w:r w:rsidR="0062064B" w:rsidRPr="0062064B">
        <w:t>Duffy,</w:t>
      </w:r>
      <w:r w:rsidR="0062064B">
        <w:rPr>
          <w:lang w:val="en-US"/>
        </w:rPr>
        <w:t xml:space="preserve"> </w:t>
      </w:r>
      <w:r w:rsidR="0062064B" w:rsidRPr="0062064B">
        <w:t xml:space="preserve">Avalos &amp; Dowling, 2015). </w:t>
      </w:r>
      <w:r>
        <w:rPr>
          <w:lang w:val="en-US"/>
        </w:rPr>
        <w:t xml:space="preserve"> Difficulty in falling asleep is associated with constant flashes of the experiences of clients which are traumatic and inability to shift focus from such actions. A feeling of hopelessness occurs, the trauma response professional is unable to offer enough support and believes that regardless of the situation, they are unable to provide significant help beyond the necessary interventions. Such situations create a difficult environment where it is easy for professionals to develop vicarious trauma both in sexual assault and natural disaster environment. </w:t>
      </w:r>
    </w:p>
    <w:p w14:paraId="5C60A5A8" w14:textId="5BC6FEB1" w:rsidR="00931493" w:rsidRPr="0062064B" w:rsidRDefault="00B57045" w:rsidP="0062064B">
      <w:pPr>
        <w:spacing w:line="480" w:lineRule="auto"/>
        <w:ind w:firstLine="720"/>
        <w:jc w:val="both"/>
        <w:rPr>
          <w:lang w:val="en-US"/>
        </w:rPr>
      </w:pPr>
      <w:r>
        <w:rPr>
          <w:lang w:val="en-US"/>
        </w:rPr>
        <w:t xml:space="preserve">Sexual assault cases are extremely traumatic, especially considering how they are executed. Such experiences are likely to have a detrimental influence on the wellbeing of trauma response professional who is unable to offer high-quality care. Physical body tension is a common symptom of vicarious trauma in professionals working with sexual assault victims. How these experiences are described creates a sense of emotional pressure on how people can be cruel to others as well as the thought of falling victim to such individuals. Anger and resentment are likely to develop, creating a challenging environment where it would be easier to attain quality outcomes when considering the wellbeing clients in such a situation. Professionals are expected to create a negative attitude </w:t>
      </w:r>
      <w:r w:rsidR="003E5834">
        <w:rPr>
          <w:lang w:val="en-US"/>
        </w:rPr>
        <w:t>towards</w:t>
      </w:r>
      <w:r>
        <w:rPr>
          <w:lang w:val="en-US"/>
        </w:rPr>
        <w:t xml:space="preserve"> a specific group based on the underlying causes as presented by </w:t>
      </w:r>
      <w:r w:rsidR="003E5834">
        <w:rPr>
          <w:lang w:val="en-US"/>
        </w:rPr>
        <w:t>clients</w:t>
      </w:r>
      <w:r w:rsidR="0062064B">
        <w:rPr>
          <w:lang w:val="en-US"/>
        </w:rPr>
        <w:t xml:space="preserve"> (</w:t>
      </w:r>
      <w:r w:rsidR="0062064B" w:rsidRPr="0062064B">
        <w:t>Salloum</w:t>
      </w:r>
      <w:r w:rsidR="0062064B">
        <w:rPr>
          <w:lang w:val="en-US"/>
        </w:rPr>
        <w:t xml:space="preserve"> et al., 2015).</w:t>
      </w:r>
    </w:p>
    <w:p w14:paraId="703C78EB" w14:textId="241780B9" w:rsidR="003E5834" w:rsidRDefault="00B57045" w:rsidP="0062064B">
      <w:pPr>
        <w:spacing w:line="480" w:lineRule="auto"/>
        <w:ind w:firstLine="720"/>
        <w:jc w:val="both"/>
        <w:rPr>
          <w:lang w:val="en-US"/>
        </w:rPr>
      </w:pPr>
      <w:r>
        <w:rPr>
          <w:lang w:val="en-US"/>
        </w:rPr>
        <w:lastRenderedPageBreak/>
        <w:t xml:space="preserve">Natural disaster situations tend to have a different influence on trauma response professionals. Common symptoms include guilt feeling where counselors feel that they have more resources than their clients, which is a challenge in concentration and ability to provide quality service delivery. Feeling disconnected is also a critical factor that provides a more significant </w:t>
      </w:r>
      <w:r w:rsidR="00553408">
        <w:rPr>
          <w:lang w:val="en-US"/>
        </w:rPr>
        <w:t>influence</w:t>
      </w:r>
      <w:r>
        <w:rPr>
          <w:lang w:val="en-US"/>
        </w:rPr>
        <w:t xml:space="preserve"> on individual development, especially in a disaster environment. The feeling of inadequacy is common since clients are unable to afford even basic needs due to these disasters</w:t>
      </w:r>
      <w:r w:rsidR="0062064B">
        <w:rPr>
          <w:lang w:val="en-US"/>
        </w:rPr>
        <w:t>(</w:t>
      </w:r>
      <w:r w:rsidR="0062064B" w:rsidRPr="0062064B">
        <w:t>Hernandez-Wolfe</w:t>
      </w:r>
      <w:r w:rsidR="0062064B">
        <w:rPr>
          <w:lang w:val="en-US"/>
        </w:rPr>
        <w:t xml:space="preserve"> et al.,2015)</w:t>
      </w:r>
      <w:r>
        <w:rPr>
          <w:lang w:val="en-US"/>
        </w:rPr>
        <w:t xml:space="preserve">. </w:t>
      </w:r>
    </w:p>
    <w:p w14:paraId="2D3E718A" w14:textId="77777777" w:rsidR="00553408" w:rsidRPr="00553408" w:rsidRDefault="00B57045" w:rsidP="0062064B">
      <w:pPr>
        <w:spacing w:line="480" w:lineRule="auto"/>
        <w:jc w:val="both"/>
        <w:rPr>
          <w:lang w:val="en-US"/>
        </w:rPr>
      </w:pPr>
      <w:r w:rsidRPr="00553408">
        <w:rPr>
          <w:lang w:val="en-US"/>
        </w:rPr>
        <w:t>Using the current research, describe an evidence-based intervention used to treat trauma-response, helping professionals experiencing vicarious trauma while working with survivors of sexual abuse and natural disasters.</w:t>
      </w:r>
    </w:p>
    <w:p w14:paraId="72FE5F83" w14:textId="42A3C9C1" w:rsidR="003E5834" w:rsidRDefault="00B57045" w:rsidP="0062064B">
      <w:pPr>
        <w:spacing w:line="480" w:lineRule="auto"/>
        <w:ind w:firstLine="720"/>
        <w:jc w:val="both"/>
        <w:rPr>
          <w:lang w:val="en-US"/>
        </w:rPr>
      </w:pPr>
      <w:r>
        <w:rPr>
          <w:lang w:val="en-US"/>
        </w:rPr>
        <w:t>According to Kinniburgh et al. (2017), self</w:t>
      </w:r>
      <w:r w:rsidR="00553408">
        <w:rPr>
          <w:lang w:val="en-US"/>
        </w:rPr>
        <w:t>-care practices have been perceived to have a more significant influence on individual vicarious trauma. Self-care practices focus on individual wellbeing and their ability to regulate their feelings and emotions based on the underlying vicarious trauma symptoms. Managing needs to integrate critical processes which help define a unique system that improves the level of focus on the development of vicarious trauma.</w:t>
      </w:r>
    </w:p>
    <w:p w14:paraId="7C986EE9" w14:textId="77777777" w:rsidR="00553408" w:rsidRPr="00553408" w:rsidRDefault="00B57045" w:rsidP="0062064B">
      <w:pPr>
        <w:spacing w:line="480" w:lineRule="auto"/>
        <w:jc w:val="both"/>
        <w:rPr>
          <w:b/>
          <w:bCs/>
          <w:lang w:val="en-US"/>
        </w:rPr>
      </w:pPr>
      <w:r w:rsidRPr="00553408">
        <w:rPr>
          <w:b/>
          <w:bCs/>
          <w:lang w:val="en-US"/>
        </w:rPr>
        <w:t>Explain the implications of your training and preparedness in counseling trauma-response helping professionals who work with survivors of sexual abuse and natural disasters. Be specific.</w:t>
      </w:r>
    </w:p>
    <w:p w14:paraId="25F29EE1" w14:textId="7BDE764B" w:rsidR="003E5834" w:rsidRDefault="00B57045" w:rsidP="0062064B">
      <w:pPr>
        <w:spacing w:line="480" w:lineRule="auto"/>
        <w:ind w:firstLine="720"/>
        <w:jc w:val="both"/>
        <w:rPr>
          <w:lang w:val="en-US"/>
        </w:rPr>
      </w:pPr>
      <w:r>
        <w:rPr>
          <w:lang w:val="en-US"/>
        </w:rPr>
        <w:t>Training and high level of preparedness are essential in controlling the development of vicarious trauma because I can detect the symptoms which are likely to lead to such a situation. There is a need to improve the level of engagement and interaction with clients so that it is easy to focus on specific aspects that define improved service delivery regardless of the settings.</w:t>
      </w:r>
    </w:p>
    <w:p w14:paraId="2B13DB43" w14:textId="77777777" w:rsidR="00553408" w:rsidRPr="00553408" w:rsidRDefault="00B57045" w:rsidP="0062064B">
      <w:pPr>
        <w:spacing w:line="480" w:lineRule="auto"/>
        <w:jc w:val="both"/>
        <w:rPr>
          <w:lang w:val="en-US"/>
        </w:rPr>
      </w:pPr>
      <w:r w:rsidRPr="00553408">
        <w:rPr>
          <w:b/>
          <w:bCs/>
          <w:lang w:val="en-US"/>
        </w:rPr>
        <w:lastRenderedPageBreak/>
        <w:t>Identify one insight you had or conclusion you drew based upon the comparison. Be specific</w:t>
      </w:r>
      <w:r w:rsidRPr="00553408">
        <w:rPr>
          <w:lang w:val="en-US"/>
        </w:rPr>
        <w:t>.</w:t>
      </w:r>
    </w:p>
    <w:p w14:paraId="2C06307F" w14:textId="6A44ABAF" w:rsidR="003E5834" w:rsidRDefault="00B57045" w:rsidP="0062064B">
      <w:pPr>
        <w:spacing w:line="480" w:lineRule="auto"/>
        <w:ind w:firstLine="720"/>
        <w:jc w:val="both"/>
        <w:rPr>
          <w:lang w:val="en-US"/>
        </w:rPr>
      </w:pPr>
      <w:r>
        <w:rPr>
          <w:lang w:val="en-US"/>
        </w:rPr>
        <w:t>In conclusion, the development of vicarious trauma can quickly occur in different settings where it is possible to achieve improved outcomes and the ability to control the behavior and traits of trauma response professionals. However, there are specific symptoms that differ depending on the settings. It is crucial to control these symptoms in a bid to deliver quality care.</w:t>
      </w:r>
    </w:p>
    <w:p w14:paraId="22D7BCBD" w14:textId="5A7655B0" w:rsidR="003E5834" w:rsidRDefault="003E5834" w:rsidP="00553408">
      <w:pPr>
        <w:jc w:val="both"/>
        <w:rPr>
          <w:lang w:val="en-US"/>
        </w:rPr>
      </w:pPr>
    </w:p>
    <w:p w14:paraId="08C238FA" w14:textId="1E1081D9" w:rsidR="0062064B" w:rsidRDefault="0062064B" w:rsidP="00553408">
      <w:pPr>
        <w:jc w:val="both"/>
        <w:rPr>
          <w:lang w:val="en-US"/>
        </w:rPr>
      </w:pPr>
    </w:p>
    <w:p w14:paraId="7A52300E" w14:textId="3E0A7B34" w:rsidR="0062064B" w:rsidRDefault="0062064B" w:rsidP="00553408">
      <w:pPr>
        <w:jc w:val="both"/>
        <w:rPr>
          <w:lang w:val="en-US"/>
        </w:rPr>
      </w:pPr>
    </w:p>
    <w:p w14:paraId="332545F2" w14:textId="37F91667" w:rsidR="0062064B" w:rsidRDefault="0062064B" w:rsidP="00553408">
      <w:pPr>
        <w:jc w:val="both"/>
        <w:rPr>
          <w:lang w:val="en-US"/>
        </w:rPr>
      </w:pPr>
    </w:p>
    <w:p w14:paraId="69DD3DD0" w14:textId="679950F1" w:rsidR="0062064B" w:rsidRDefault="0062064B" w:rsidP="00553408">
      <w:pPr>
        <w:jc w:val="both"/>
        <w:rPr>
          <w:lang w:val="en-US"/>
        </w:rPr>
      </w:pPr>
    </w:p>
    <w:p w14:paraId="7FC31B78" w14:textId="7B01B656" w:rsidR="0062064B" w:rsidRDefault="0062064B" w:rsidP="00553408">
      <w:pPr>
        <w:jc w:val="both"/>
        <w:rPr>
          <w:lang w:val="en-US"/>
        </w:rPr>
      </w:pPr>
    </w:p>
    <w:p w14:paraId="0BBD093E" w14:textId="6E1836B5" w:rsidR="0062064B" w:rsidRDefault="0062064B" w:rsidP="00553408">
      <w:pPr>
        <w:jc w:val="both"/>
        <w:rPr>
          <w:lang w:val="en-US"/>
        </w:rPr>
      </w:pPr>
    </w:p>
    <w:p w14:paraId="31F7BDE2" w14:textId="083C51F5" w:rsidR="0062064B" w:rsidRDefault="0062064B" w:rsidP="00553408">
      <w:pPr>
        <w:jc w:val="both"/>
        <w:rPr>
          <w:lang w:val="en-US"/>
        </w:rPr>
      </w:pPr>
    </w:p>
    <w:p w14:paraId="0D20E917" w14:textId="429ADCF7" w:rsidR="0062064B" w:rsidRDefault="0062064B" w:rsidP="00553408">
      <w:pPr>
        <w:jc w:val="both"/>
        <w:rPr>
          <w:lang w:val="en-US"/>
        </w:rPr>
      </w:pPr>
    </w:p>
    <w:p w14:paraId="4A1BBFC1" w14:textId="259828A8" w:rsidR="0062064B" w:rsidRDefault="0062064B" w:rsidP="00553408">
      <w:pPr>
        <w:jc w:val="both"/>
        <w:rPr>
          <w:lang w:val="en-US"/>
        </w:rPr>
      </w:pPr>
    </w:p>
    <w:p w14:paraId="595C6AD4" w14:textId="497B30E4" w:rsidR="0062064B" w:rsidRDefault="0062064B" w:rsidP="00553408">
      <w:pPr>
        <w:jc w:val="both"/>
        <w:rPr>
          <w:lang w:val="en-US"/>
        </w:rPr>
      </w:pPr>
    </w:p>
    <w:p w14:paraId="160F678F" w14:textId="68048C6C" w:rsidR="0062064B" w:rsidRDefault="0062064B" w:rsidP="00553408">
      <w:pPr>
        <w:jc w:val="both"/>
        <w:rPr>
          <w:lang w:val="en-US"/>
        </w:rPr>
      </w:pPr>
    </w:p>
    <w:p w14:paraId="118C0346" w14:textId="43664775" w:rsidR="0062064B" w:rsidRDefault="0062064B" w:rsidP="00553408">
      <w:pPr>
        <w:jc w:val="both"/>
        <w:rPr>
          <w:lang w:val="en-US"/>
        </w:rPr>
      </w:pPr>
    </w:p>
    <w:p w14:paraId="45D021BB" w14:textId="5CAACEAF" w:rsidR="0062064B" w:rsidRDefault="0062064B" w:rsidP="00553408">
      <w:pPr>
        <w:jc w:val="both"/>
        <w:rPr>
          <w:lang w:val="en-US"/>
        </w:rPr>
      </w:pPr>
    </w:p>
    <w:p w14:paraId="1FC801EB" w14:textId="56FE4EE4" w:rsidR="0062064B" w:rsidRDefault="0062064B" w:rsidP="00553408">
      <w:pPr>
        <w:jc w:val="both"/>
        <w:rPr>
          <w:lang w:val="en-US"/>
        </w:rPr>
      </w:pPr>
    </w:p>
    <w:p w14:paraId="75255558" w14:textId="34480CFA" w:rsidR="0062064B" w:rsidRDefault="0062064B" w:rsidP="00553408">
      <w:pPr>
        <w:jc w:val="both"/>
        <w:rPr>
          <w:lang w:val="en-US"/>
        </w:rPr>
      </w:pPr>
    </w:p>
    <w:p w14:paraId="4B269DF9" w14:textId="23873A6B" w:rsidR="0062064B" w:rsidRDefault="0062064B" w:rsidP="00553408">
      <w:pPr>
        <w:jc w:val="both"/>
        <w:rPr>
          <w:lang w:val="en-US"/>
        </w:rPr>
      </w:pPr>
    </w:p>
    <w:p w14:paraId="15D8D000" w14:textId="39B03B29" w:rsidR="0062064B" w:rsidRDefault="0062064B" w:rsidP="00553408">
      <w:pPr>
        <w:jc w:val="both"/>
        <w:rPr>
          <w:lang w:val="en-US"/>
        </w:rPr>
      </w:pPr>
    </w:p>
    <w:p w14:paraId="38DA5F59" w14:textId="2C88AFCD" w:rsidR="0062064B" w:rsidRDefault="0062064B" w:rsidP="00553408">
      <w:pPr>
        <w:jc w:val="both"/>
        <w:rPr>
          <w:lang w:val="en-US"/>
        </w:rPr>
      </w:pPr>
    </w:p>
    <w:p w14:paraId="12CD167B" w14:textId="60E41957" w:rsidR="0062064B" w:rsidRDefault="0062064B" w:rsidP="00553408">
      <w:pPr>
        <w:jc w:val="both"/>
        <w:rPr>
          <w:lang w:val="en-US"/>
        </w:rPr>
      </w:pPr>
    </w:p>
    <w:p w14:paraId="29AD0256" w14:textId="77777777" w:rsidR="0062064B" w:rsidRDefault="0062064B" w:rsidP="00553408">
      <w:pPr>
        <w:jc w:val="both"/>
        <w:rPr>
          <w:lang w:val="en-US"/>
        </w:rPr>
      </w:pPr>
    </w:p>
    <w:p w14:paraId="421080F9" w14:textId="405A6393" w:rsidR="003E5834" w:rsidRDefault="003E5834" w:rsidP="00553408">
      <w:pPr>
        <w:jc w:val="both"/>
      </w:pPr>
    </w:p>
    <w:p w14:paraId="66AAD3AB" w14:textId="5E03E8F9" w:rsidR="00C03D34" w:rsidRPr="00C03D34" w:rsidRDefault="00B57045" w:rsidP="0062064B">
      <w:pPr>
        <w:jc w:val="center"/>
        <w:rPr>
          <w:lang w:val="en-US"/>
        </w:rPr>
      </w:pPr>
      <w:r>
        <w:rPr>
          <w:lang w:val="en-US"/>
        </w:rPr>
        <w:t>References</w:t>
      </w:r>
    </w:p>
    <w:p w14:paraId="6E68B336" w14:textId="77777777" w:rsidR="0062064B" w:rsidRDefault="00B57045" w:rsidP="0062064B">
      <w:pPr>
        <w:spacing w:line="480" w:lineRule="auto"/>
        <w:ind w:left="720" w:hanging="720"/>
        <w:jc w:val="both"/>
      </w:pPr>
      <w:r w:rsidRPr="00C03D34">
        <w:t>Duffy, E., Avalos, G., &amp; Dowling, M. (2015). Secondary traumatic stress among emergency nurses: a cross-sectional study. </w:t>
      </w:r>
      <w:r w:rsidRPr="00C03D34">
        <w:rPr>
          <w:i/>
          <w:iCs/>
        </w:rPr>
        <w:t>International emergency nursing</w:t>
      </w:r>
      <w:r w:rsidRPr="00C03D34">
        <w:t>, </w:t>
      </w:r>
      <w:r w:rsidRPr="00C03D34">
        <w:rPr>
          <w:i/>
          <w:iCs/>
        </w:rPr>
        <w:t>23</w:t>
      </w:r>
      <w:r w:rsidRPr="00C03D34">
        <w:t>(2), 53-58.</w:t>
      </w:r>
    </w:p>
    <w:p w14:paraId="41B01D19" w14:textId="77777777" w:rsidR="0062064B" w:rsidRDefault="00B57045" w:rsidP="0062064B">
      <w:pPr>
        <w:spacing w:line="480" w:lineRule="auto"/>
        <w:ind w:left="720" w:hanging="720"/>
        <w:jc w:val="both"/>
        <w:rPr>
          <w:lang w:val="en-US"/>
        </w:rPr>
      </w:pPr>
      <w:r w:rsidRPr="0062064B">
        <w:t>Hernandez-Wolfe, P., Killian, K., Engstrom, D., &amp; Gangsei, D. (2015). Vicarious resilience, vicarious trauma, and awareness of equity in trauma work. </w:t>
      </w:r>
      <w:r w:rsidRPr="0062064B">
        <w:rPr>
          <w:i/>
          <w:iCs/>
        </w:rPr>
        <w:t>Journal of Humanistic Psychology</w:t>
      </w:r>
      <w:r w:rsidRPr="0062064B">
        <w:t>, </w:t>
      </w:r>
      <w:r w:rsidRPr="0062064B">
        <w:rPr>
          <w:i/>
          <w:iCs/>
        </w:rPr>
        <w:t>55</w:t>
      </w:r>
      <w:r w:rsidRPr="0062064B">
        <w:t>(2), 153-172.</w:t>
      </w:r>
    </w:p>
    <w:p w14:paraId="1C5912F0" w14:textId="77777777" w:rsidR="0062064B" w:rsidRDefault="00B57045" w:rsidP="0062064B">
      <w:pPr>
        <w:spacing w:line="480" w:lineRule="auto"/>
        <w:ind w:left="720" w:hanging="720"/>
        <w:jc w:val="both"/>
      </w:pPr>
      <w:r w:rsidRPr="003E5834">
        <w:t>Kinniburgh, K. J., Blaustein, M., Spinazzola, J., &amp; Van der Kolk, B. A. (2017). Attachment, Self-Regulation, and Competency: A comprehensive intervention framework for children with complex trauma. </w:t>
      </w:r>
      <w:r w:rsidRPr="003E5834">
        <w:rPr>
          <w:i/>
          <w:iCs/>
        </w:rPr>
        <w:t>Psychiatric annals</w:t>
      </w:r>
      <w:r w:rsidRPr="003E5834">
        <w:t>, </w:t>
      </w:r>
      <w:r w:rsidRPr="003E5834">
        <w:rPr>
          <w:i/>
          <w:iCs/>
        </w:rPr>
        <w:t>35</w:t>
      </w:r>
      <w:r w:rsidRPr="003E5834">
        <w:t>(5), 424-430.</w:t>
      </w:r>
    </w:p>
    <w:p w14:paraId="20384646" w14:textId="77777777" w:rsidR="0062064B" w:rsidRDefault="00B57045" w:rsidP="0062064B">
      <w:pPr>
        <w:spacing w:line="480" w:lineRule="auto"/>
        <w:ind w:left="720" w:hanging="720"/>
        <w:jc w:val="both"/>
        <w:rPr>
          <w:lang w:val="en-US"/>
        </w:rPr>
      </w:pPr>
      <w:r w:rsidRPr="00C03D34">
        <w:t>Salloum, A., Kondrat, D. C., Johnco, C., &amp; Olson, K. R. (2015). The role of self-care on compassion satisfaction, burnout and secondary trauma among child welfare workers. </w:t>
      </w:r>
      <w:r w:rsidRPr="00C03D34">
        <w:rPr>
          <w:i/>
          <w:iCs/>
        </w:rPr>
        <w:t>Children and Youth Services Review</w:t>
      </w:r>
      <w:r w:rsidRPr="00C03D34">
        <w:t>, </w:t>
      </w:r>
      <w:r w:rsidRPr="00C03D34">
        <w:rPr>
          <w:i/>
          <w:iCs/>
        </w:rPr>
        <w:t>49</w:t>
      </w:r>
      <w:r w:rsidRPr="00C03D34">
        <w:t>, 54-61.</w:t>
      </w:r>
    </w:p>
    <w:p w14:paraId="46B67D63" w14:textId="77777777" w:rsidR="003D63E0" w:rsidRPr="003D63E0" w:rsidRDefault="003D63E0" w:rsidP="00553408">
      <w:pPr>
        <w:jc w:val="both"/>
        <w:rPr>
          <w:lang w:val="en-US"/>
        </w:rPr>
      </w:pPr>
    </w:p>
    <w:sectPr w:rsidR="003D63E0" w:rsidRPr="003D63E0" w:rsidSect="0055340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7A6CB" w14:textId="77777777" w:rsidR="0017613A" w:rsidRDefault="0017613A">
      <w:pPr>
        <w:spacing w:after="0" w:line="240" w:lineRule="auto"/>
      </w:pPr>
      <w:r>
        <w:separator/>
      </w:r>
    </w:p>
  </w:endnote>
  <w:endnote w:type="continuationSeparator" w:id="0">
    <w:p w14:paraId="5A62D877" w14:textId="77777777" w:rsidR="0017613A" w:rsidRDefault="00176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4636E" w14:textId="77777777" w:rsidR="0017613A" w:rsidRDefault="0017613A">
      <w:pPr>
        <w:spacing w:after="0" w:line="240" w:lineRule="auto"/>
      </w:pPr>
      <w:r>
        <w:separator/>
      </w:r>
    </w:p>
  </w:footnote>
  <w:footnote w:type="continuationSeparator" w:id="0">
    <w:p w14:paraId="316EE2BA" w14:textId="77777777" w:rsidR="0017613A" w:rsidRDefault="00176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2788D" w14:textId="583791AC" w:rsidR="00553408" w:rsidRDefault="00B57045">
    <w:pPr>
      <w:pStyle w:val="Header"/>
      <w:jc w:val="right"/>
    </w:pPr>
    <w:r w:rsidRPr="00553408">
      <w:rPr>
        <w:lang w:val="en-US"/>
      </w:rPr>
      <w:t xml:space="preserve">VICARIOUS TRAUMA SYMPTOMS </w:t>
    </w:r>
    <w:r>
      <w:rPr>
        <w:lang w:val="en-US"/>
      </w:rPr>
      <w:t xml:space="preserve">                                                                                   </w:t>
    </w:r>
    <w:sdt>
      <w:sdtPr>
        <w:id w:val="6531865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09D1AE6" w14:textId="77777777" w:rsidR="00553408" w:rsidRDefault="00553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BF3FD" w14:textId="12839EB6" w:rsidR="00553408" w:rsidRDefault="00B57045">
    <w:pPr>
      <w:pStyle w:val="Header"/>
      <w:jc w:val="right"/>
    </w:pPr>
    <w:r>
      <w:rPr>
        <w:lang w:val="en-US"/>
      </w:rPr>
      <w:t xml:space="preserve">Running head: VICARIOUS TRAUMA SYMPTOMS                                                           </w:t>
    </w:r>
    <w:sdt>
      <w:sdtPr>
        <w:id w:val="-66422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A659792" w14:textId="77777777" w:rsidR="00553408" w:rsidRDefault="00553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509C4"/>
    <w:multiLevelType w:val="multilevel"/>
    <w:tmpl w:val="BFE8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xtrQ0MjYwNjcyMDdS0lEKTi0uzszPAykwrAUAK0yE3ywAAAA="/>
  </w:docVars>
  <w:rsids>
    <w:rsidRoot w:val="003D63E0"/>
    <w:rsid w:val="00125212"/>
    <w:rsid w:val="0017613A"/>
    <w:rsid w:val="003D63E0"/>
    <w:rsid w:val="003E5834"/>
    <w:rsid w:val="00553408"/>
    <w:rsid w:val="0062064B"/>
    <w:rsid w:val="007929C8"/>
    <w:rsid w:val="007F3ABE"/>
    <w:rsid w:val="008615DB"/>
    <w:rsid w:val="00931493"/>
    <w:rsid w:val="00B57045"/>
    <w:rsid w:val="00C03D3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E000CF-FC3F-42C3-8D0C-9BFE130E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408"/>
  </w:style>
  <w:style w:type="paragraph" w:styleId="Footer">
    <w:name w:val="footer"/>
    <w:basedOn w:val="Normal"/>
    <w:link w:val="FooterChar"/>
    <w:uiPriority w:val="99"/>
    <w:unhideWhenUsed/>
    <w:rsid w:val="00553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2019-07-24T11:05:00Z</dcterms:created>
  <dcterms:modified xsi:type="dcterms:W3CDTF">2019-07-24T11:05:00Z</dcterms:modified>
</cp:coreProperties>
</file>